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65144D" w:rsidRPr="0065144D" w:rsidTr="0065144D">
        <w:tc>
          <w:tcPr>
            <w:tcW w:w="9854" w:type="dxa"/>
            <w:hideMark/>
          </w:tcPr>
          <w:tbl>
            <w:tblPr>
              <w:tblW w:w="0" w:type="auto"/>
              <w:tblInd w:w="108" w:type="dxa"/>
              <w:tblBorders>
                <w:bottom w:val="thinThickLarge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65144D" w:rsidRPr="0065144D">
              <w:trPr>
                <w:trHeight w:val="2420"/>
              </w:trPr>
              <w:tc>
                <w:tcPr>
                  <w:tcW w:w="9463" w:type="dxa"/>
                  <w:tcBorders>
                    <w:top w:val="nil"/>
                    <w:left w:val="nil"/>
                    <w:bottom w:val="thinThickLargeGap" w:sz="24" w:space="0" w:color="auto"/>
                    <w:right w:val="nil"/>
                  </w:tcBorders>
                </w:tcPr>
                <w:p w:rsidR="0065144D" w:rsidRPr="0065144D" w:rsidRDefault="0065144D" w:rsidP="0065144D">
                  <w:pPr>
                    <w:keepNext/>
                    <w:widowControl w:val="0"/>
                    <w:tabs>
                      <w:tab w:val="num" w:pos="0"/>
                    </w:tabs>
                    <w:suppressAutoHyphens/>
                    <w:spacing w:after="0" w:line="360" w:lineRule="auto"/>
                    <w:jc w:val="center"/>
                    <w:outlineLvl w:val="0"/>
                    <w:rPr>
                      <w:rFonts w:ascii="Times New Roman" w:eastAsia="Lucida Sans Unicod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Р о с </w:t>
                  </w:r>
                  <w:proofErr w:type="spellStart"/>
                  <w:proofErr w:type="gramStart"/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28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и й с к а я  Ф е д е р а ц и я</w:t>
                  </w:r>
                </w:p>
                <w:p w:rsidR="0065144D" w:rsidRPr="0065144D" w:rsidRDefault="0065144D" w:rsidP="0065144D">
                  <w:pPr>
                    <w:keepNext/>
                    <w:widowControl w:val="0"/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outlineLvl w:val="4"/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  <w:t>Иркутская   область</w:t>
                  </w:r>
                </w:p>
                <w:p w:rsidR="0065144D" w:rsidRPr="0065144D" w:rsidRDefault="0065144D" w:rsidP="006514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65144D">
                    <w:rPr>
                      <w:rFonts w:ascii="Arial" w:eastAsia="Lucida Sans Unicode" w:hAnsi="Arial" w:cs="Times New Roman"/>
                      <w:b/>
                      <w:sz w:val="32"/>
                      <w:szCs w:val="24"/>
                      <w:lang w:eastAsia="ru-RU"/>
                    </w:rPr>
                    <w:t>Муниципальное образование «Тайшетский  район»</w:t>
                  </w:r>
                </w:p>
                <w:p w:rsidR="0065144D" w:rsidRPr="0065144D" w:rsidRDefault="0065144D" w:rsidP="0065144D">
                  <w:pPr>
                    <w:keepNext/>
                    <w:widowControl w:val="0"/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outlineLvl w:val="5"/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  <w:t>МИРНИНСКОЕ МУНИЦИПАЛЬНОЕ ОБРАЗОВАНИЕ</w:t>
                  </w:r>
                </w:p>
                <w:p w:rsidR="0065144D" w:rsidRPr="0065144D" w:rsidRDefault="0065144D" w:rsidP="006514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</w:p>
                <w:p w:rsidR="0065144D" w:rsidRPr="0065144D" w:rsidRDefault="0065144D" w:rsidP="0065144D">
                  <w:pPr>
                    <w:keepNext/>
                    <w:widowControl w:val="0"/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outlineLvl w:val="6"/>
                    <w:rPr>
                      <w:rFonts w:ascii="Times New Roman" w:eastAsia="Lucida Sans Unicode" w:hAnsi="Times New Roman" w:cs="Times New Roman"/>
                      <w:b/>
                      <w:sz w:val="44"/>
                      <w:szCs w:val="24"/>
                      <w:lang w:eastAsia="ru-RU"/>
                    </w:rPr>
                  </w:pPr>
                  <w:r w:rsidRPr="0065144D">
                    <w:rPr>
                      <w:rFonts w:ascii="Times New Roman" w:eastAsia="Lucida Sans Unicode" w:hAnsi="Times New Roman" w:cs="Times New Roman"/>
                      <w:b/>
                      <w:sz w:val="44"/>
                      <w:szCs w:val="24"/>
                      <w:lang w:eastAsia="ru-RU"/>
                    </w:rPr>
                    <w:t>ПОСТАНОВЛЕНИЕ</w:t>
                  </w:r>
                </w:p>
                <w:p w:rsidR="0065144D" w:rsidRPr="0065144D" w:rsidRDefault="0065144D" w:rsidP="0065144D">
                  <w:pPr>
                    <w:widowControl w:val="0"/>
                    <w:suppressLineNumbers/>
                    <w:suppressAutoHyphens/>
                    <w:spacing w:after="120" w:line="480" w:lineRule="auto"/>
                    <w:rPr>
                      <w:rFonts w:ascii="Arial" w:eastAsia="Lucida Sans Unicode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144D" w:rsidRPr="0065144D" w:rsidRDefault="0065144D" w:rsidP="006514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sz w:val="24"/>
                <w:szCs w:val="24"/>
                <w:lang w:eastAsia="ru-RU" w:bidi="ru-RU"/>
              </w:rPr>
            </w:pPr>
          </w:p>
        </w:tc>
      </w:tr>
    </w:tbl>
    <w:p w:rsidR="0065144D" w:rsidRPr="0065144D" w:rsidRDefault="0065144D" w:rsidP="0065144D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    12   декабря      2011г.                                   №  27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 подготовке проекта Правил землепользования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 застройки Мирнинского муниципального образования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284"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284"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В целях регулирования землепользования и застройки на основе градостроительного зонирования Мирнинского муниципального образования, руководствуясь </w:t>
      </w:r>
      <w:proofErr w:type="spellStart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ст.ст</w:t>
      </w:r>
      <w:proofErr w:type="spellEnd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. 30, 31, 33, 39, 40 Градостроительного кодекса РФ, ст.ст.83,85 Земельного кодекса РФ, ст.14 Федерального закона «Об общих принципах организации местного самоуправления в Российской Федерации» ст. ст.23,46,48, администрация Мирнинского муниципального образования 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284"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284"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ПОСТАНОВЛЯЕТ: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284"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numPr>
          <w:ilvl w:val="2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Организовать работу по подготовке проекта Правил землепользования и застройки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Мирнинского муниципального образования</w:t>
      </w:r>
      <w:proofErr w:type="gramStart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144D" w:rsidRPr="0065144D" w:rsidRDefault="0065144D" w:rsidP="0065144D">
      <w:pPr>
        <w:widowControl w:val="0"/>
        <w:numPr>
          <w:ilvl w:val="2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Создать комиссию по подготовке проекта Правил землепользования и застройки Мирнинского муниципального образования (далее комиссия), утвердить ее состав (приложение №1) и порядок деятельности в Положении о комиссии по подготовке проекта Правил землепользования и застройки Мирнинского муниципального образования (приложение №2).</w:t>
      </w:r>
    </w:p>
    <w:p w:rsidR="0065144D" w:rsidRPr="0065144D" w:rsidRDefault="0065144D" w:rsidP="0065144D">
      <w:pPr>
        <w:widowControl w:val="0"/>
        <w:numPr>
          <w:ilvl w:val="2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Комиссии провести градостроительного зонирования территории Мирнинского муниципального образования в 1 этап. Разработать карту градостроительного зонирования территории Мирнинского муниципального образования в срок до 31.12.2012г. Подготовить проект Правил землепользования и территории Мирнинского муниципального образования с градостроительными регламентами в срок до 31.12.2012г</w:t>
      </w:r>
    </w:p>
    <w:p w:rsidR="0065144D" w:rsidRPr="0065144D" w:rsidRDefault="0065144D" w:rsidP="0065144D">
      <w:pPr>
        <w:widowControl w:val="0"/>
        <w:numPr>
          <w:ilvl w:val="2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Опубликовать настоящее Постановление со всеми приложениями, информационным сообщением  в </w:t>
      </w:r>
      <w:proofErr w:type="gramStart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порядке</w:t>
      </w:r>
      <w:proofErr w:type="gramEnd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установленном Уставом Мирнинского муниципального образования.</w:t>
      </w:r>
    </w:p>
    <w:p w:rsidR="0065144D" w:rsidRPr="0065144D" w:rsidRDefault="0065144D" w:rsidP="0065144D">
      <w:pPr>
        <w:widowControl w:val="0"/>
        <w:numPr>
          <w:ilvl w:val="2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20"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Глава  Мирнинского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А.Г. Чернак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№ 1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постановлению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главы Мирнинского МО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«12» декабря 2011г.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27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5144D" w:rsidRPr="0065144D" w:rsidRDefault="0065144D" w:rsidP="0065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ЗЕМЛЕПОЛЬЗОВАНИЮ И ЗАСТРОЙКЕ  МИРНИНСКОГО МУНИЦИПАЛЬНОГО ОБРАЗОВАНИЯ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1. Общие положения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1.1. Комиссия по землепользованию и застройке Мирнинского муниципального образования (далее - Комиссия) является коллегиальным органом при администрации села, образованным в целях регулирования землепользования и застройки на основе градостроительного зонирования территории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1.2. Комиссия осуществляет свою деятельность в соответствии с Градостроительным кодексом Российской Федерации, Уставом Мирнинского муниципального образования, иными нормативными правовыми актами, настоящим Положением.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1.3. Состав Комиссии, изменения, вносимые в состав, утверждаются постановлением 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администрации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 Основные функции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2.1. Подготовка проекта Правил землепользования и застройки территории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2.2. Рассмотрение предложений заинтересованных лиц о необходимости внесения изменений в Правила землепользования и застройки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2.3. Подготовка проекта решения о внесении изменений в Правила землепользования и застройки территории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2.4. Проведение публичных слушаний: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проекту Правил землепользования и застройки территории Мирнинского муниципального образования;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проекту решения о внесении изменений в Правила землепользования и застройки территории Мирнинского муниципального образования;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2.5. Направление извещений (сообщений) о проведении публичных слушаний в случаях, предусмотренных законодательством.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2.6. Анализ результатов публичных слушаний.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2.7.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2.8. Рассмотрение вопросов о предоставлении разрешений на отклонение от предельных параметров разрешенного строительства, реконструкции объектов </w:t>
      </w: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капитального строительства.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 Комиссия имеет право: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3.2. 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3.3. 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3.4. Давать заключения и рекомендации по рассматриваемым вопросам.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 Порядок деятельности Комиссии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4.1. Заседания Комиссии проводятся по мере необходимости, но не реже одного раза в квартал.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4.2. Заседания Комиссии считаются правомочными, если на них присутствуют не менее половины ее членов.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4.3. Комиссия состоит из председателя, заместителя председателя, секретаря и членов Комиссии. Состав Комиссии утверждается главой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4.4. Председатель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подписывает документы Комиссии;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ведет заседания Комиссии;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-направляет главе Мирнинского муниципального образования информацию, рекомендации, заключения и решения Комиссии.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4.5. Заседания Комиссии в случае отсутствия председателя проводятся заместителем председателя Комиссии либо членом Комиссии, исполняющим обязанности председателя.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4.6. Заседание Комиссии протоколируется секретарем Комиссии либо в случае его отсутствия секретарем, назначаемым председателем Комиссии.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4.7.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4.8. Решения Комиссии оформляются протоколами в 7-дневный срок.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4.9. По вопросам, предусмотренным пунктами 2.2, 2.6 Положения, Комиссия осуществляет подготовку заключений.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4.10. По вопросам, предусмотренным пунктами 2.7, 2.8 Положения, Комиссия осуществляет подготовку рекомендаций на основании заключений о результатах публичных слушаний.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4.11. 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всеми членами Комиссии.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4.12. Организационно-техническое обеспечение деятельности Комиссии осуществляет администрация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Приложение N 2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постановлению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главы Мирнинского МО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«12» декабря 2011г.№ 27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СОСТАВ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КОМИССИИ ПО ЗЕМЛЕПОЛЬЗОВАНИЮ И ЗАСТРОЙКЕ МИРНИНСКОГО МУНИЦИПАЛЬНОГО ОБРАЗОВАНИЯ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Председатель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Фомина С.В.- ведущий специалист администрации Мирнинского муниципального 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образования 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Гоголаури О.П.- депутат Думы Мирнинского муниципального образования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Секретарь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Машукова Н.А.-главный специалист администрации Мирнинского муниципального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образования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Члены комиссии: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Фролова Г.М.- консультант администрации Мирнинского муниципального образования</w:t>
      </w:r>
    </w:p>
    <w:p w:rsidR="0065144D" w:rsidRPr="0065144D" w:rsidRDefault="0065144D" w:rsidP="006514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144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Шершень О.И.- депутат Думы Мирнинского муниципального образования.</w:t>
      </w: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144D" w:rsidRPr="0065144D" w:rsidRDefault="0065144D" w:rsidP="006514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4B1B27" w:rsidRDefault="004B1B27">
      <w:bookmarkStart w:id="0" w:name="_GoBack"/>
      <w:bookmarkEnd w:id="0"/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multilevel"/>
    <w:tmpl w:val="52027BB4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4"/>
    <w:rsid w:val="0000709C"/>
    <w:rsid w:val="00021364"/>
    <w:rsid w:val="0003215C"/>
    <w:rsid w:val="000442A8"/>
    <w:rsid w:val="00057B2B"/>
    <w:rsid w:val="00060C0A"/>
    <w:rsid w:val="00065350"/>
    <w:rsid w:val="00066665"/>
    <w:rsid w:val="00071BB4"/>
    <w:rsid w:val="000744D2"/>
    <w:rsid w:val="000775A3"/>
    <w:rsid w:val="00091C65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207BB"/>
    <w:rsid w:val="00221D80"/>
    <w:rsid w:val="002322DD"/>
    <w:rsid w:val="00233DF0"/>
    <w:rsid w:val="00240647"/>
    <w:rsid w:val="002544ED"/>
    <w:rsid w:val="002A3FD5"/>
    <w:rsid w:val="002B0CA2"/>
    <w:rsid w:val="002B6027"/>
    <w:rsid w:val="002E6506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5144D"/>
    <w:rsid w:val="00655272"/>
    <w:rsid w:val="00661DAF"/>
    <w:rsid w:val="0067013B"/>
    <w:rsid w:val="00672608"/>
    <w:rsid w:val="006A1C2E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35E30"/>
    <w:rsid w:val="00844DA5"/>
    <w:rsid w:val="00853715"/>
    <w:rsid w:val="008574EE"/>
    <w:rsid w:val="008609BF"/>
    <w:rsid w:val="00862CA4"/>
    <w:rsid w:val="008663EB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24C10"/>
    <w:rsid w:val="00966112"/>
    <w:rsid w:val="00972A73"/>
    <w:rsid w:val="0097777D"/>
    <w:rsid w:val="00987BD0"/>
    <w:rsid w:val="00995E89"/>
    <w:rsid w:val="00997245"/>
    <w:rsid w:val="009A4481"/>
    <w:rsid w:val="009B3D3A"/>
    <w:rsid w:val="009C20DA"/>
    <w:rsid w:val="009E18F7"/>
    <w:rsid w:val="009E193A"/>
    <w:rsid w:val="009E41CE"/>
    <w:rsid w:val="009F0946"/>
    <w:rsid w:val="009F19F1"/>
    <w:rsid w:val="00A00495"/>
    <w:rsid w:val="00A02178"/>
    <w:rsid w:val="00A419AE"/>
    <w:rsid w:val="00A50F45"/>
    <w:rsid w:val="00A56BD7"/>
    <w:rsid w:val="00A56E85"/>
    <w:rsid w:val="00A847D7"/>
    <w:rsid w:val="00A95294"/>
    <w:rsid w:val="00A9700A"/>
    <w:rsid w:val="00AC0FBE"/>
    <w:rsid w:val="00AC102F"/>
    <w:rsid w:val="00AC23DD"/>
    <w:rsid w:val="00AD6C9E"/>
    <w:rsid w:val="00AE620C"/>
    <w:rsid w:val="00AF41C0"/>
    <w:rsid w:val="00B03B0C"/>
    <w:rsid w:val="00B15B75"/>
    <w:rsid w:val="00B16BC1"/>
    <w:rsid w:val="00B17F42"/>
    <w:rsid w:val="00B51CE4"/>
    <w:rsid w:val="00B54159"/>
    <w:rsid w:val="00B566DA"/>
    <w:rsid w:val="00B71A62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32E2"/>
    <w:rsid w:val="00CB618B"/>
    <w:rsid w:val="00CE34ED"/>
    <w:rsid w:val="00CF6F14"/>
    <w:rsid w:val="00D14248"/>
    <w:rsid w:val="00D16300"/>
    <w:rsid w:val="00D163EF"/>
    <w:rsid w:val="00D24068"/>
    <w:rsid w:val="00D45303"/>
    <w:rsid w:val="00D47245"/>
    <w:rsid w:val="00D50E21"/>
    <w:rsid w:val="00D7242A"/>
    <w:rsid w:val="00D821A7"/>
    <w:rsid w:val="00D8551F"/>
    <w:rsid w:val="00D856B6"/>
    <w:rsid w:val="00D8651A"/>
    <w:rsid w:val="00D92EA5"/>
    <w:rsid w:val="00DA1B55"/>
    <w:rsid w:val="00DB4EEE"/>
    <w:rsid w:val="00DD0582"/>
    <w:rsid w:val="00DD062B"/>
    <w:rsid w:val="00E17667"/>
    <w:rsid w:val="00E17AAF"/>
    <w:rsid w:val="00E31E70"/>
    <w:rsid w:val="00E42205"/>
    <w:rsid w:val="00E53DEB"/>
    <w:rsid w:val="00E66BB0"/>
    <w:rsid w:val="00E71088"/>
    <w:rsid w:val="00E96F51"/>
    <w:rsid w:val="00EA144F"/>
    <w:rsid w:val="00EA45D7"/>
    <w:rsid w:val="00EA71F1"/>
    <w:rsid w:val="00EB7D93"/>
    <w:rsid w:val="00EE041D"/>
    <w:rsid w:val="00EE650E"/>
    <w:rsid w:val="00EF0CFA"/>
    <w:rsid w:val="00F00D4D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2016-07-04T14:46:00Z</dcterms:created>
  <dcterms:modified xsi:type="dcterms:W3CDTF">2016-07-04T14:46:00Z</dcterms:modified>
</cp:coreProperties>
</file>